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AF1" w:rsidRPr="00071AF1" w:rsidRDefault="00071AF1" w:rsidP="00EC72C7">
      <w:pPr>
        <w:jc w:val="both"/>
        <w:rPr>
          <w:rFonts w:ascii="Times New Roman" w:hAnsi="Times New Roman" w:cs="Times New Roman"/>
          <w:b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MD"/>
        </w:rPr>
        <w:t>Titlu: Ziua II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>i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de instruire a tinerilor NEET din r. Hâncești (sesiunea I)</w:t>
      </w:r>
    </w:p>
    <w:p w:rsidR="00EC72C7" w:rsidRDefault="00EC72C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Care este valoarea pe care o generează o afacere plecând de la idee și până la dobândirea avantajului concurențial?  </w:t>
      </w:r>
    </w:p>
    <w:p w:rsidR="00EC72C7" w:rsidRDefault="00EC72C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Răspunsul la această întrebare l-am aflat la data de 26.02.2022 în cadrul Școlii de antreprenoriat social pentru tinerii NEET din r. Hâncești în cadrul proiectului “Antreprenoriatul social și tinerii din Moldova pentru o societate mai inclusivă, durabilă și inovativă (GoYouth+)”, finanțat de Uniunea Europeană și cofinanțat de Suedia prin intermediul Fundației Est-Europene. </w:t>
      </w:r>
    </w:p>
    <w:p w:rsidR="00EC72C7" w:rsidRDefault="00EC72C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Sesiunea de instruire a fost moderată de către expertul proiectului GoYouth+, dr. Rodica Crudu, care a relatat participanților despre conceptul de idee de afaceri și etapele de identificare, testare, validare.</w:t>
      </w:r>
    </w:p>
    <w:p w:rsidR="00EC72C7" w:rsidRDefault="00EC72C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a treia zi de instruire, tinerii NEET au aflat ce este un start-up, ce înseamnă un business minim viabil, care este rolul inovației și creativității în generarea ideilor de afaceri și ce tehnici de stimulare a creativității și inovației pot aplica.</w:t>
      </w:r>
    </w:p>
    <w:p w:rsidR="00EC72C7" w:rsidRDefault="00EC72C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Echipa proiectul GoYouh+ ține să aprecieze suportul Fundației Moldcell, Ambasadei Franței în Republica Moldova, Alianței Franceze din Moldova, Camerei de Comerț și Industrie a RM, Asociației Naționale pentru Turism Receptor și Intern, AO “ASPIRE”, AO “Indigo”, SRL “NETSISTEM ”, care facilitează buna desfășurare e activităților. </w:t>
      </w:r>
    </w:p>
    <w:p w:rsidR="00EC72C7" w:rsidRDefault="00EC72C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Mai multe detalii despre proiectul GoYouth+ află pe </w:t>
      </w:r>
      <w:hyperlink r:id="rId5" w:tgtFrame="_blank" w:history="1">
        <w:r>
          <w:rPr>
            <w:rStyle w:val="a3"/>
            <w:rFonts w:ascii="Times New Roman" w:hAnsi="Times New Roman" w:cs="Times New Roman"/>
            <w:sz w:val="24"/>
            <w:szCs w:val="24"/>
            <w:lang w:val="ro-MD"/>
          </w:rPr>
          <w:t>www.haitinere.md</w:t>
        </w:r>
      </w:hyperlink>
      <w:r>
        <w:rPr>
          <w:rFonts w:ascii="Times New Roman" w:hAnsi="Times New Roman" w:cs="Times New Roman"/>
          <w:sz w:val="24"/>
          <w:szCs w:val="24"/>
          <w:lang w:val="ro-MD"/>
        </w:rPr>
        <w:t xml:space="preserve"> . </w:t>
      </w:r>
    </w:p>
    <w:p w:rsidR="002872F7" w:rsidRDefault="002872F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87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jpe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jpeg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F7" w:rsidRDefault="002872F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872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jpe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jpeg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F7" w:rsidRDefault="002872F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87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wnloads\26.02_Program_ziua_III_GoYouth+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6.02_Program_ziua_III_GoYouth+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F7" w:rsidRDefault="002872F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87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417"/>
            <wp:effectExtent l="0" t="0" r="3175" b="2540"/>
            <wp:docPr id="2" name="Рисунок 2" descr="C:\Users\User\Downloads\jpe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jpe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C7" w:rsidRDefault="00EC72C7" w:rsidP="00EC72C7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:rsidR="007C37B2" w:rsidRDefault="007C37B2"/>
    <w:sectPr w:rsidR="007C37B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0A03"/>
    <w:multiLevelType w:val="hybridMultilevel"/>
    <w:tmpl w:val="578CF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B9"/>
    <w:rsid w:val="00071AF1"/>
    <w:rsid w:val="002872F7"/>
    <w:rsid w:val="004922B9"/>
    <w:rsid w:val="007C37B2"/>
    <w:rsid w:val="00EC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D5A40"/>
  <w15:chartTrackingRefBased/>
  <w15:docId w15:val="{11E51570-731D-4594-82C6-5CB93E49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2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72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7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haitinere.md/?fbclid=IwAR0jdGP2NXutfAvaDrNLTa6f-0lm_AihXX49lqEHi_5shawJrm3H4cgWuc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2022-04-05T07:09:00Z</dcterms:created>
  <dcterms:modified xsi:type="dcterms:W3CDTF">2022-04-05T10:37:00Z</dcterms:modified>
</cp:coreProperties>
</file>